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 w:before="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MIAMI NEUROLOGY &amp; IMMUNOLOGY ASSOCIATES</w:t>
      </w:r>
    </w:p>
    <w:p>
      <w:pPr>
        <w:spacing w:after="40" w:before="0"/>
      </w:pPr>
      <w:r>
        <w:rPr>
          <w:rFonts w:ascii="Arial" w:cs="Arial" w:eastAsia="Arial" w:hAnsi="Arial"/>
          <w:sz w:val="22"/>
          <w:szCs w:val="22"/>
        </w:rPr>
        <w:t xml:space="preserve">8900 N. Kendall Drive, Suite 201, Miami, FL 33176</w:t>
      </w:r>
    </w:p>
    <w:p>
      <w:pPr>
        <w:spacing w:after="40" w:before="0"/>
      </w:pPr>
      <w:r>
        <w:rPr>
          <w:rFonts w:ascii="Arial" w:cs="Arial" w:eastAsia="Arial" w:hAnsi="Arial"/>
          <w:sz w:val="22"/>
          <w:szCs w:val="22"/>
        </w:rPr>
        <w:t xml:space="preserve">Phone: (305) 555-8800  |  Fax: (305) 555-8801  |  Email: referrals@miamineurology.com</w:t>
      </w:r>
    </w:p>
    <w:p>
      <w:pPr>
        <w:pBdr>
          <w:bottom w:val="single" w:color="1F3864" w:sz="8" w:space="2"/>
        </w:pBdr>
        <w:spacing w:after="18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40" w:before="120"/>
        <w:jc w:val="center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PHYSICIAN REFERRAL FOR HOME IVIG INFUSION THERAPY</w:t>
      </w:r>
    </w:p>
    <w:p>
      <w:pPr>
        <w:spacing w:after="120" w:before="0"/>
        <w:jc w:val="center"/>
      </w:pPr>
      <w:r>
        <w:rPr>
          <w:rFonts w:ascii="Arial" w:cs="Arial" w:eastAsia="Arial" w:hAnsi="Arial"/>
          <w:sz w:val="22"/>
          <w:szCs w:val="22"/>
        </w:rPr>
        <w:t xml:space="preserve">Date of Referral: March 28, 2026</w:t>
      </w:r>
    </w:p>
    <w:p>
      <w:pPr>
        <w:spacing w:after="40" w:before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TO:  </w:t>
      </w:r>
      <w:r>
        <w:rPr>
          <w:rFonts w:ascii="Arial" w:cs="Arial" w:eastAsia="Arial" w:hAnsi="Arial"/>
          <w:sz w:val="22"/>
          <w:szCs w:val="22"/>
        </w:rPr>
        <w:t xml:space="preserve">CareIG Specialty Pharmacy, Home Infusion Division</w:t>
      </w:r>
    </w:p>
    <w:p>
      <w:pPr>
        <w:spacing w:after="40" w:before="0"/>
      </w:pPr>
      <w:r>
        <w:rPr>
          <w:rFonts w:ascii="Arial" w:cs="Arial" w:eastAsia="Arial" w:hAnsi="Arial"/>
          <w:sz w:val="22"/>
          <w:szCs w:val="22"/>
        </w:rPr>
        <w:t xml:space="preserve">       Email: intake@careig.com  |  Phone: (305) 555-0100</w:t>
      </w:r>
    </w:p>
    <w:p>
      <w:pPr>
        <w:pBdr>
          <w:bottom w:val="single" w:color="2F5496" w:sz="4" w:space="1"/>
        </w:pBdr>
        <w:spacing w:after="80" w:before="240"/>
      </w:pPr>
      <w:r>
        <w:rPr>
          <w:rFonts w:ascii="Arial" w:cs="Arial" w:eastAsia="Arial" w:hAnsi="Arial"/>
          <w:b/>
          <w:bCs/>
          <w:color w:val="2F5496"/>
          <w:sz w:val="24"/>
          <w:szCs w:val="24"/>
        </w:rPr>
        <w:t xml:space="preserve">PATIENT INFORMATION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560"/>
      </w:tblGrid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3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Last Name</w:t>
            </w:r>
          </w:p>
        </w:tc>
        <w:tc>
          <w:tcPr>
            <w:tcW w:type="dxa" w:w="656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Vasquez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3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First Name</w:t>
            </w:r>
          </w:p>
        </w:tc>
        <w:tc>
          <w:tcPr>
            <w:tcW w:type="dxa" w:w="656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Maria Elena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3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Date of Birth</w:t>
            </w:r>
          </w:p>
        </w:tc>
        <w:tc>
          <w:tcPr>
            <w:tcW w:type="dxa" w:w="656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03/15/1971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3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Address</w:t>
            </w:r>
          </w:p>
        </w:tc>
        <w:tc>
          <w:tcPr>
            <w:tcW w:type="dxa" w:w="656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4821 SW 112th Avenue, Miami, FL 33165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3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Phone</w:t>
            </w:r>
          </w:p>
        </w:tc>
        <w:tc>
          <w:tcPr>
            <w:tcW w:type="dxa" w:w="656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(305) 555-4892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3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Email</w:t>
            </w:r>
          </w:p>
        </w:tc>
        <w:tc>
          <w:tcPr>
            <w:tcW w:type="dxa" w:w="656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m.vasquez1971@gmail.com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3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Emergency Contact</w:t>
            </w:r>
          </w:p>
        </w:tc>
        <w:tc>
          <w:tcPr>
            <w:tcW w:type="dxa" w:w="656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Carlos Vasquez (husband) — (305) 555-7723</w:t>
            </w:r>
          </w:p>
        </w:tc>
      </w:tr>
    </w:tbl>
    <w:p>
      <w:pPr>
        <w:pBdr>
          <w:bottom w:val="single" w:color="2F5496" w:sz="4" w:space="1"/>
        </w:pBdr>
        <w:spacing w:after="80" w:before="240"/>
      </w:pPr>
      <w:r>
        <w:rPr>
          <w:rFonts w:ascii="Arial" w:cs="Arial" w:eastAsia="Arial" w:hAnsi="Arial"/>
          <w:b/>
          <w:bCs/>
          <w:color w:val="2F5496"/>
          <w:sz w:val="24"/>
          <w:szCs w:val="24"/>
        </w:rPr>
        <w:t xml:space="preserve">DIAGNOSIS &amp; CLINICAL INFORMATION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560"/>
      </w:tblGrid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3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Primary Diagnosis</w:t>
            </w:r>
          </w:p>
        </w:tc>
        <w:tc>
          <w:tcPr>
            <w:tcW w:type="dxa" w:w="656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Common Variable Immunodeficiency (CVID), unspecified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3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ICD-10 Code</w:t>
            </w:r>
          </w:p>
        </w:tc>
        <w:tc>
          <w:tcPr>
            <w:tcW w:type="dxa" w:w="656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D83.9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3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Recent IgG Level</w:t>
            </w:r>
          </w:p>
        </w:tc>
        <w:tc>
          <w:tcPr>
            <w:tcW w:type="dxa" w:w="656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187 mg/dL (lab date: 02/14/2026) — below threshold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3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Clinical Notes</w:t>
            </w:r>
          </w:p>
        </w:tc>
        <w:tc>
          <w:tcPr>
            <w:tcW w:type="dxa" w:w="656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Patient presents with recurrent sinopulmonary infections and confirmed hypogammaglobulinemia. IgG 187 mg/dL well below normal range. IVIG indicated for immune replacement therapy. See enclosed progress note dated 03/18/2026.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3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Contraindications / Allergies</w:t>
            </w:r>
          </w:p>
        </w:tc>
        <w:tc>
          <w:tcPr>
            <w:tcW w:type="dxa" w:w="656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NKDA. Patient denies history of hyperprolinemia. No prior IVIG adverse reactions.</w:t>
            </w:r>
          </w:p>
        </w:tc>
      </w:tr>
    </w:tbl>
    <w:p>
      <w:pPr>
        <w:pBdr>
          <w:bottom w:val="single" w:color="2F5496" w:sz="4" w:space="1"/>
        </w:pBdr>
        <w:spacing w:after="80" w:before="240"/>
      </w:pPr>
      <w:r>
        <w:rPr>
          <w:rFonts w:ascii="Arial" w:cs="Arial" w:eastAsia="Arial" w:hAnsi="Arial"/>
          <w:b/>
          <w:bCs/>
          <w:color w:val="2F5496"/>
          <w:sz w:val="24"/>
          <w:szCs w:val="24"/>
        </w:rPr>
        <w:t xml:space="preserve">ORDERED TREATMENT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560"/>
      </w:tblGrid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3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Drug Name</w:t>
            </w:r>
          </w:p>
        </w:tc>
        <w:tc>
          <w:tcPr>
            <w:tcW w:type="dxa" w:w="656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Privigen 10%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3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Route</w:t>
            </w:r>
          </w:p>
        </w:tc>
        <w:tc>
          <w:tcPr>
            <w:tcW w:type="dxa" w:w="656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Intravenous (IV)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3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Dose</w:t>
            </w:r>
          </w:p>
        </w:tc>
        <w:tc>
          <w:tcPr>
            <w:tcW w:type="dxa" w:w="656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35 grams per infusion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3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Frequency</w:t>
            </w:r>
          </w:p>
        </w:tc>
        <w:tc>
          <w:tcPr>
            <w:tcW w:type="dxa" w:w="656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Every 4 weeks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3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Duration of Therapy</w:t>
            </w:r>
          </w:p>
        </w:tc>
        <w:tc>
          <w:tcPr>
            <w:tcW w:type="dxa" w:w="656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12 months (subject to re-evaluation)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3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Infusion Rate</w:t>
            </w:r>
          </w:p>
        </w:tc>
        <w:tc>
          <w:tcPr>
            <w:tcW w:type="dxa" w:w="656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Per package insert — start at 0.5 mg/kg/min, titrate as tolerated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3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Pre-Medications</w:t>
            </w:r>
          </w:p>
        </w:tc>
        <w:tc>
          <w:tcPr>
            <w:tcW w:type="dxa" w:w="656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Diphenhydramine 50 mg IV 30 minutes prior to infusion if prior mild reaction; otherwise as-needed per nurse clinical judgment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3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Special Instructions</w:t>
            </w:r>
          </w:p>
        </w:tc>
        <w:tc>
          <w:tcPr>
            <w:tcW w:type="dxa" w:w="656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Privigen is contraindicated in hyperprolinemia — confirmed not applicable for this patient. Infuse in home setting. Patient consented to home infusion.</w:t>
            </w:r>
          </w:p>
        </w:tc>
      </w:tr>
    </w:tbl>
    <w:p>
      <w:pPr>
        <w:pBdr>
          <w:bottom w:val="single" w:color="2F5496" w:sz="4" w:space="1"/>
        </w:pBdr>
        <w:spacing w:after="80" w:before="240"/>
      </w:pPr>
      <w:r>
        <w:rPr>
          <w:rFonts w:ascii="Arial" w:cs="Arial" w:eastAsia="Arial" w:hAnsi="Arial"/>
          <w:b/>
          <w:bCs/>
          <w:color w:val="2F5496"/>
          <w:sz w:val="24"/>
          <w:szCs w:val="24"/>
        </w:rPr>
        <w:t xml:space="preserve">INSURANCE INFORMATION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560"/>
      </w:tblGrid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3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Primary Payer</w:t>
            </w:r>
          </w:p>
        </w:tc>
        <w:tc>
          <w:tcPr>
            <w:tcW w:type="dxa" w:w="656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Aetna PPO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3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Member ID</w:t>
            </w:r>
          </w:p>
        </w:tc>
        <w:tc>
          <w:tcPr>
            <w:tcW w:type="dxa" w:w="656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AET847392018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3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Group Number</w:t>
            </w:r>
          </w:p>
        </w:tc>
        <w:tc>
          <w:tcPr>
            <w:tcW w:type="dxa" w:w="656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GRP29341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3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Payer Phone</w:t>
            </w:r>
          </w:p>
        </w:tc>
        <w:tc>
          <w:tcPr>
            <w:tcW w:type="dxa" w:w="656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(800) 555-2940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3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Secondary Insurance</w:t>
            </w:r>
          </w:p>
        </w:tc>
        <w:tc>
          <w:tcPr>
            <w:tcW w:type="dxa" w:w="656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None</w:t>
            </w:r>
          </w:p>
        </w:tc>
      </w:tr>
    </w:tbl>
    <w:p>
      <w:pPr>
        <w:pBdr>
          <w:bottom w:val="single" w:color="2F5496" w:sz="4" w:space="1"/>
        </w:pBdr>
        <w:spacing w:after="80" w:before="240"/>
      </w:pPr>
      <w:r>
        <w:rPr>
          <w:rFonts w:ascii="Arial" w:cs="Arial" w:eastAsia="Arial" w:hAnsi="Arial"/>
          <w:b/>
          <w:bCs/>
          <w:color w:val="2F5496"/>
          <w:sz w:val="24"/>
          <w:szCs w:val="24"/>
        </w:rPr>
        <w:t xml:space="preserve">REFERRING PHYSICIAN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560"/>
      </w:tblGrid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3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Physician Name</w:t>
            </w:r>
          </w:p>
        </w:tc>
        <w:tc>
          <w:tcPr>
            <w:tcW w:type="dxa" w:w="656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Dr. James T. Harrington, MD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3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Specialty</w:t>
            </w:r>
          </w:p>
        </w:tc>
        <w:tc>
          <w:tcPr>
            <w:tcW w:type="dxa" w:w="656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Neurology &amp; Clinical Immunology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3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NPI</w:t>
            </w:r>
          </w:p>
        </w:tc>
        <w:tc>
          <w:tcPr>
            <w:tcW w:type="dxa" w:w="656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1073541867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3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Practice</w:t>
            </w:r>
          </w:p>
        </w:tc>
        <w:tc>
          <w:tcPr>
            <w:tcW w:type="dxa" w:w="656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Miami Neurology &amp; Immunology Associates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3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Phone</w:t>
            </w:r>
          </w:p>
        </w:tc>
        <w:tc>
          <w:tcPr>
            <w:tcW w:type="dxa" w:w="656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(305) 555-8800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3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Email</w:t>
            </w:r>
          </w:p>
        </w:tc>
        <w:tc>
          <w:tcPr>
            <w:tcW w:type="dxa" w:w="656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j.harrington@miamineurology.com</w:t>
            </w:r>
          </w:p>
        </w:tc>
      </w:tr>
      <w:tr>
        <w:tc>
          <w:tcPr>
            <w:tcW w:type="dxa" w:w="2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EEF3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Address</w:t>
            </w:r>
          </w:p>
        </w:tc>
        <w:tc>
          <w:tcPr>
            <w:tcW w:type="dxa" w:w="656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8900 N. Kendall Drive, Suite 201, Miami, FL 33176</w:t>
            </w:r>
          </w:p>
        </w:tc>
      </w:tr>
    </w:tbl>
    <w:p>
      <w:pPr>
        <w:spacing w:after="40" w:before="3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Physician Signature:</w:t>
      </w:r>
    </w:p>
    <w:p>
      <w:pPr>
        <w:pBdr>
          <w:bottom w:val="single" w:color="000000" w:sz="3" w:space="1"/>
        </w:pBdr>
        <w:spacing w:after="40" w:before="0"/>
      </w:pPr>
      <w:r>
        <w:rPr>
          <w:rFonts w:ascii="Arial" w:cs="Arial" w:eastAsia="Arial" w:hAnsi="Arial"/>
          <w:sz w:val="22"/>
          <w:szCs w:val="22"/>
        </w:rPr>
        <w:t xml:space="preserve">                                                            </w:t>
      </w:r>
    </w:p>
    <w:p>
      <w:pPr>
        <w:spacing w:after="0" w:before="40"/>
      </w:pPr>
      <w:r>
        <w:rPr>
          <w:rFonts w:ascii="Arial" w:cs="Arial" w:eastAsia="Arial" w:hAnsi="Arial"/>
          <w:sz w:val="22"/>
          <w:szCs w:val="22"/>
        </w:rPr>
        <w:t xml:space="preserve">Dr. James T. Harrington, MD  |  NPI: 1073541867  |  Date: March 28, 2026</w:t>
      </w:r>
    </w:p>
    <w:p>
      <w:pPr>
        <w:spacing w:after="0" w:before="120"/>
      </w:pPr>
      <w:r>
        <w:rPr>
          <w:rFonts w:ascii="Arial" w:cs="Arial" w:eastAsia="Arial" w:hAnsi="Arial"/>
          <w:sz w:val="22"/>
          <w:szCs w:val="22"/>
        </w:rPr>
        <w:t xml:space="preserve">Enclosed: Progress Note (03/18/2026), IgG Lab Result (02/14/2026)</w:t>
      </w:r>
    </w:p>
    <w:sectPr>
      <w:pgSz w:w="12240" w:h="15840" w:orient="portrait"/>
      <w:pgMar w:top="1080" w:right="1440" w:bottom="108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2026-04-02T19:57:47.294Z</dcterms:created>
  <dcterms:modified xsi:type="dcterms:W3CDTF">2026-04-02T19:57:47.295Z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